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65F" w:rsidRDefault="0016165F" w:rsidP="0016165F">
      <w:pPr>
        <w:pageBreakBefore/>
        <w:jc w:val="both"/>
      </w:pPr>
      <w:bookmarkStart w:id="0" w:name="_GoBack"/>
      <w:bookmarkEnd w:id="0"/>
      <w:r>
        <w:rPr>
          <w:rFonts w:ascii="Times New Roman" w:eastAsia="ヒラギノ角ゴ Pro W3" w:hAnsi="Times New Roman" w:cs="Times New Roman Bold"/>
          <w:b/>
          <w:bCs/>
          <w:sz w:val="28"/>
          <w:szCs w:val="28"/>
        </w:rPr>
        <w:t>Izhodišča za celostno projektno rešitev zunanje ureditve OŠ Begunje</w:t>
      </w:r>
    </w:p>
    <w:p w:rsidR="0016165F" w:rsidRDefault="0016165F" w:rsidP="0016165F">
      <w:pPr>
        <w:jc w:val="both"/>
      </w:pPr>
      <w:r>
        <w:rPr>
          <w:rFonts w:ascii="Times New Roman" w:eastAsia="ヒラギノ角ゴ Pro W3" w:hAnsi="Times New Roman" w:cs="Times New Roman Bold"/>
          <w:sz w:val="24"/>
          <w:szCs w:val="24"/>
        </w:rPr>
        <w:t>Območje obravnave naj obsega:</w:t>
      </w:r>
    </w:p>
    <w:p w:rsidR="0016165F" w:rsidRDefault="0016165F" w:rsidP="0016165F">
      <w:pPr>
        <w:numPr>
          <w:ilvl w:val="0"/>
          <w:numId w:val="7"/>
        </w:numPr>
        <w:suppressAutoHyphens/>
        <w:spacing w:after="160" w:line="256" w:lineRule="auto"/>
        <w:jc w:val="both"/>
      </w:pPr>
      <w:r>
        <w:rPr>
          <w:rFonts w:ascii="Times New Roman" w:eastAsia="ヒラギノ角ゴ Pro W3" w:hAnsi="Times New Roman" w:cs="Times New Roman Bold"/>
          <w:sz w:val="24"/>
          <w:szCs w:val="24"/>
        </w:rPr>
        <w:t>na zahodu do ceste 848817,</w:t>
      </w:r>
    </w:p>
    <w:p w:rsidR="0016165F" w:rsidRDefault="0016165F" w:rsidP="0016165F">
      <w:pPr>
        <w:numPr>
          <w:ilvl w:val="0"/>
          <w:numId w:val="7"/>
        </w:numPr>
        <w:suppressAutoHyphens/>
        <w:spacing w:after="160" w:line="256" w:lineRule="auto"/>
        <w:jc w:val="both"/>
      </w:pPr>
      <w:r>
        <w:rPr>
          <w:rFonts w:ascii="Times New Roman" w:eastAsia="ヒラギノ角ゴ Pro W3" w:hAnsi="Times New Roman" w:cs="Times New Roman Bold"/>
          <w:sz w:val="24"/>
          <w:szCs w:val="24"/>
        </w:rPr>
        <w:t>na severu do ceste 849422,</w:t>
      </w:r>
    </w:p>
    <w:p w:rsidR="0016165F" w:rsidRDefault="0016165F" w:rsidP="0016165F">
      <w:pPr>
        <w:numPr>
          <w:ilvl w:val="0"/>
          <w:numId w:val="7"/>
        </w:numPr>
        <w:suppressAutoHyphens/>
        <w:spacing w:after="160" w:line="256" w:lineRule="auto"/>
        <w:jc w:val="both"/>
      </w:pPr>
      <w:r>
        <w:rPr>
          <w:rFonts w:ascii="Times New Roman" w:eastAsia="ヒラギノ角ゴ Pro W3" w:hAnsi="Times New Roman" w:cs="Times New Roman Bold"/>
          <w:sz w:val="24"/>
          <w:szCs w:val="24"/>
        </w:rPr>
        <w:t>na vzhodu do ceste 848771,</w:t>
      </w:r>
    </w:p>
    <w:p w:rsidR="0016165F" w:rsidRDefault="0016165F" w:rsidP="0016165F">
      <w:pPr>
        <w:numPr>
          <w:ilvl w:val="0"/>
          <w:numId w:val="7"/>
        </w:numPr>
        <w:suppressAutoHyphens/>
        <w:spacing w:after="160" w:line="256" w:lineRule="auto"/>
        <w:jc w:val="both"/>
      </w:pPr>
      <w:r>
        <w:rPr>
          <w:rFonts w:ascii="Times New Roman" w:eastAsia="ヒラギノ角ゴ Pro W3" w:hAnsi="Times New Roman" w:cs="Times New Roman Bold"/>
          <w:sz w:val="24"/>
          <w:szCs w:val="24"/>
        </w:rPr>
        <w:t>na jugu:</w:t>
      </w:r>
    </w:p>
    <w:p w:rsidR="0016165F" w:rsidRDefault="0016165F" w:rsidP="0016165F">
      <w:pPr>
        <w:numPr>
          <w:ilvl w:val="1"/>
          <w:numId w:val="7"/>
        </w:numPr>
        <w:suppressAutoHyphens/>
        <w:spacing w:after="160" w:line="256" w:lineRule="auto"/>
        <w:jc w:val="both"/>
      </w:pPr>
      <w:r>
        <w:rPr>
          <w:rFonts w:ascii="Times New Roman" w:eastAsia="ヒラギノ角ゴ Pro W3" w:hAnsi="Times New Roman" w:cs="Times New Roman Bold"/>
          <w:sz w:val="24"/>
          <w:szCs w:val="24"/>
        </w:rPr>
        <w:t xml:space="preserve">sprva do južne meje parcele 415/4 </w:t>
      </w:r>
      <w:proofErr w:type="spellStart"/>
      <w:r>
        <w:rPr>
          <w:rFonts w:ascii="Times New Roman" w:eastAsia="ヒラギノ角ゴ Pro W3" w:hAnsi="Times New Roman" w:cs="Times New Roman Bold"/>
          <w:sz w:val="24"/>
          <w:szCs w:val="24"/>
        </w:rPr>
        <w:t>k.o</w:t>
      </w:r>
      <w:proofErr w:type="spellEnd"/>
      <w:r>
        <w:rPr>
          <w:rFonts w:ascii="Times New Roman" w:eastAsia="ヒラギノ角ゴ Pro W3" w:hAnsi="Times New Roman" w:cs="Times New Roman Bold"/>
          <w:sz w:val="24"/>
          <w:szCs w:val="24"/>
        </w:rPr>
        <w:t>. Begunje,</w:t>
      </w:r>
    </w:p>
    <w:p w:rsidR="0016165F" w:rsidRDefault="0016165F" w:rsidP="0016165F">
      <w:pPr>
        <w:numPr>
          <w:ilvl w:val="1"/>
          <w:numId w:val="7"/>
        </w:numPr>
        <w:suppressAutoHyphens/>
        <w:spacing w:after="160" w:line="256" w:lineRule="auto"/>
        <w:jc w:val="both"/>
      </w:pPr>
      <w:r>
        <w:rPr>
          <w:rFonts w:ascii="Times New Roman" w:eastAsia="ヒラギノ角ゴ Pro W3" w:hAnsi="Times New Roman" w:cs="Times New Roman Bold"/>
          <w:sz w:val="24"/>
          <w:szCs w:val="24"/>
        </w:rPr>
        <w:t>kasneje južneje za zagotovitev naslednjih faz projekta zunanje ureditve OŠ Begunje. Svet KS Begunje je že sprejel sklep in dal pobudi Občini Radovljica za rezervacijo prostora južno od šole v prostorskih občinskih prostorskih dokumentih.</w:t>
      </w:r>
    </w:p>
    <w:p w:rsidR="0016165F" w:rsidRDefault="0016165F" w:rsidP="0016165F">
      <w:pPr>
        <w:jc w:val="both"/>
        <w:rPr>
          <w:rFonts w:ascii="Times New Roman" w:eastAsia="ヒラギノ角ゴ Pro W3" w:hAnsi="Times New Roman" w:cs="Times New Roman Bold"/>
          <w:sz w:val="24"/>
          <w:szCs w:val="24"/>
        </w:rPr>
      </w:pPr>
    </w:p>
    <w:p w:rsidR="0016165F" w:rsidRDefault="0016165F" w:rsidP="0016165F">
      <w:pPr>
        <w:jc w:val="both"/>
      </w:pPr>
      <w:r>
        <w:rPr>
          <w:rFonts w:ascii="Times New Roman" w:eastAsia="ヒラギノ角ゴ Pro W3" w:hAnsi="Times New Roman" w:cs="Times New Roman Bold"/>
          <w:sz w:val="24"/>
          <w:szCs w:val="24"/>
        </w:rPr>
        <w:t>Izhodišča za celostno projektno rešitev zunanje ureditve OŠ Begunje, ki bo zadovoljila kratkoročnim in dolgoročnim zahtevam ter razvoju šole:</w:t>
      </w:r>
    </w:p>
    <w:p w:rsidR="0016165F" w:rsidRDefault="0016165F" w:rsidP="0016165F">
      <w:pPr>
        <w:jc w:val="both"/>
        <w:rPr>
          <w:rFonts w:ascii="Times New Roman" w:eastAsia="ヒラギノ角ゴ Pro W3" w:hAnsi="Times New Roman" w:cs="Times New Roman Bold"/>
          <w:color w:val="000000"/>
          <w:sz w:val="24"/>
          <w:szCs w:val="24"/>
        </w:rPr>
      </w:pPr>
    </w:p>
    <w:p w:rsidR="0016165F" w:rsidRDefault="0016165F" w:rsidP="0016165F">
      <w:pPr>
        <w:numPr>
          <w:ilvl w:val="0"/>
          <w:numId w:val="4"/>
        </w:numPr>
        <w:suppressAutoHyphens/>
        <w:spacing w:after="160" w:line="256" w:lineRule="auto"/>
        <w:jc w:val="both"/>
      </w:pPr>
      <w:r>
        <w:rPr>
          <w:rFonts w:ascii="Times New Roman" w:hAnsi="Times New Roman"/>
          <w:sz w:val="24"/>
          <w:szCs w:val="24"/>
        </w:rPr>
        <w:t>Zagotoviti parkiranje staršev pri dostavi / pobiranju otrok. Promet staršev naj bo krožen s čim manj potrebne vzvratne vožnje (idealno nič). Idealno vsaj nekaj/čim več parkirnih mest na tak način, kot je rešeno pri OŠ Lesce, da je med dvema parkiranima avtomobiloma 1 m prostora, da otroci pri odpiranju vrat ne poškodujejo sosednjih vozil. Če ne morejo biti vsa parkirna mesta taka, naj bo vsaj tisti del, ki je bližji vhodu v šolo. Skupno vsaj 11 parkirnih mest za starše.</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Zagotoviti parkiranje zaposlenih, vsaj 10 parkirnih mest za zaposlene.</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Zagotoviti možnost parkiranja udeležencev šolskih prireditev, ki so manj pogoste (2-3x letno), vendar zahtevajo parkiranje večjega števila vozil hkrati (roditeljski sestanki, proslave, …). Rešitev lahko predvideva ročno odpiranje ograje ter souporabo igrišča, ipd. Potrebno ugotoviti ali je sploh možna taka izvedba igrišča, da na njem občasno stojijo vozila.</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Zagotoviti možnost ustavljanja in obračanja rednih in izrednih šolskih avtobusov na območju obravnave na način, da ni potrebna vzvratna vožnja in da lahko to storijo tudi ob jutranjih in popoldanskih konicah. Razlogov za potrebo po možnosti pristopa z avtobusom je več:</w:t>
      </w:r>
    </w:p>
    <w:p w:rsidR="0016165F" w:rsidRDefault="0016165F" w:rsidP="0016165F">
      <w:pPr>
        <w:numPr>
          <w:ilvl w:val="1"/>
          <w:numId w:val="6"/>
        </w:numPr>
        <w:suppressAutoHyphens/>
        <w:spacing w:after="160" w:line="256" w:lineRule="auto"/>
        <w:jc w:val="both"/>
      </w:pPr>
      <w:r>
        <w:rPr>
          <w:rFonts w:ascii="Times New Roman" w:hAnsi="Times New Roman"/>
          <w:sz w:val="24"/>
          <w:szCs w:val="24"/>
        </w:rPr>
        <w:t>do trenutnega avtobusnega postajališča v središču vasi je potrebno prečkanje državne ceste (trenutno celo zelo nevarno)</w:t>
      </w:r>
    </w:p>
    <w:p w:rsidR="0016165F" w:rsidRDefault="0016165F" w:rsidP="0016165F">
      <w:pPr>
        <w:numPr>
          <w:ilvl w:val="1"/>
          <w:numId w:val="6"/>
        </w:numPr>
        <w:suppressAutoHyphens/>
        <w:spacing w:after="160" w:line="256" w:lineRule="auto"/>
        <w:jc w:val="both"/>
      </w:pPr>
      <w:r>
        <w:rPr>
          <w:rFonts w:ascii="Times New Roman" w:hAnsi="Times New Roman"/>
          <w:sz w:val="24"/>
          <w:szCs w:val="24"/>
        </w:rPr>
        <w:lastRenderedPageBreak/>
        <w:t>dejstvo, da avtobusno postajališče v središču Begunj uporabljajo tudi uporabniki PB Begunje, ki so v nekaterih primerih po pravni poti iz obravnave v ustanovi izpuščeni, kljub temu, da stroka meni, da so še vedno nevarni za okolico, otroci lahko prihajajo v stik z njimi</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Zagotoviti intervencijske pristope do vseh strani šole.</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Omogočiti optimalno redno dostavo do šolske kuhinje (do nadstreška levo od glavnega vhoda v šolo).</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Omogočiti izredno dostavo do šole/telovadnice/kurilnice/... (redki dogodki, vzdrževalna dela, …). Zelo verjetno se ta točka reši samodejno z rešitvijo intervencijskih dostopov.</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Zagotoviti dostop komunalnih vozil do ekoloških otokov.</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 xml:space="preserve">Umestitev ekoloških otokov. Ni potrebe, da so pokriti. Ekološki otok, ki je namenjen šoli je lahko odmaknjen, ni potrebe, da je direktno pred glavnim vhodom kot trenutno. Ekološki otok, ki je namenjen občanom (na vzhodni strani) naj se postavi izven ali na rob območja obravnave. Ob EKO otok za občane predvideti še mesto za varno zaustavitev vozila ob </w:t>
      </w:r>
      <w:proofErr w:type="spellStart"/>
      <w:r>
        <w:rPr>
          <w:rFonts w:ascii="Times New Roman" w:hAnsi="Times New Roman"/>
          <w:sz w:val="24"/>
          <w:szCs w:val="24"/>
        </w:rPr>
        <w:t>praznenju</w:t>
      </w:r>
      <w:proofErr w:type="spellEnd"/>
      <w:r>
        <w:rPr>
          <w:rFonts w:ascii="Times New Roman" w:hAnsi="Times New Roman"/>
          <w:sz w:val="24"/>
          <w:szCs w:val="24"/>
        </w:rPr>
        <w:t xml:space="preserve"> odpadkov, da ne bodo vozila stala na cesti. Zagotoviti možnost transporta zabojnikov do mesta nakladanja na tovornjak (robovi, stopnice, …).</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Umestitev kolesarnice. Kolesarnico postaviti bližje šolskemu poslopju, da so kolesa v vidnem polju učiteljic (varovanje) in da je pot kolesarja/pešca brez prečkanja glavne dovozne ceste na parkirišče.</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Prenova/nadgradnja šolskega igrišča.</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Varen dostop med šolo in šolskim igriščem (predvsem otroškim igriščem). Zagotoviti varno pot med šolskim igriščem in šolsko stavbo znotraj ograde.</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Ureditev dvorišča pred glavnim vhodom v šolo (ali bo to asfalt, zelenica, tlakovano, ograje,...)</w:t>
      </w:r>
    </w:p>
    <w:p w:rsidR="0016165F" w:rsidRDefault="0016165F" w:rsidP="0016165F">
      <w:pPr>
        <w:numPr>
          <w:ilvl w:val="0"/>
          <w:numId w:val="4"/>
        </w:numPr>
        <w:suppressAutoHyphens/>
        <w:spacing w:after="160" w:line="256" w:lineRule="auto"/>
        <w:jc w:val="both"/>
      </w:pPr>
      <w:r>
        <w:rPr>
          <w:rFonts w:ascii="Times New Roman" w:eastAsia="ヒラギノ角ゴ Pro W3" w:hAnsi="Times New Roman"/>
          <w:color w:val="000000"/>
          <w:kern w:val="2"/>
          <w:sz w:val="24"/>
          <w:szCs w:val="24"/>
        </w:rPr>
        <w:t xml:space="preserve">Zasuk </w:t>
      </w:r>
      <w:r>
        <w:rPr>
          <w:rFonts w:ascii="Times New Roman" w:hAnsi="Times New Roman"/>
          <w:sz w:val="24"/>
          <w:szCs w:val="24"/>
        </w:rPr>
        <w:t xml:space="preserve">kapelice na JV delu obravnavanega območja. </w:t>
      </w:r>
      <w:r>
        <w:rPr>
          <w:rFonts w:ascii="Times New Roman" w:eastAsia="ヒラギノ角ゴ Pro W3" w:hAnsi="Times New Roman"/>
          <w:color w:val="000000"/>
          <w:kern w:val="2"/>
          <w:sz w:val="24"/>
          <w:szCs w:val="24"/>
        </w:rPr>
        <w:t>Trenutno je kapelica obrnjena tako, da ustreza prejšnji prometni ureditvi (niti ne sedanji). Potrebno jo je</w:t>
      </w:r>
      <w:r>
        <w:rPr>
          <w:rFonts w:ascii="Times New Roman" w:hAnsi="Times New Roman"/>
          <w:sz w:val="24"/>
          <w:szCs w:val="24"/>
        </w:rPr>
        <w:t xml:space="preserve"> smiselno prilagoditi novi ureditvi (verjetno zasuk lica za 180</w:t>
      </w:r>
      <w:r>
        <w:rPr>
          <w:rFonts w:ascii="Times New Roman" w:eastAsia="ヒラギノ角ゴ Pro W3" w:hAnsi="Times New Roman"/>
          <w:sz w:val="24"/>
          <w:szCs w:val="24"/>
        </w:rPr>
        <w:t>º</w:t>
      </w:r>
      <w:r>
        <w:rPr>
          <w:rFonts w:ascii="Times New Roman" w:hAnsi="Times New Roman"/>
          <w:sz w:val="24"/>
          <w:szCs w:val="24"/>
        </w:rPr>
        <w:t>)</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Predvideti prostor za umestitev učilnice v naravi, šolskega vrta, igrišča z varnim dostopom do šolske zgradbe.</w:t>
      </w:r>
    </w:p>
    <w:p w:rsidR="0016165F" w:rsidRDefault="0016165F" w:rsidP="0016165F">
      <w:pPr>
        <w:numPr>
          <w:ilvl w:val="0"/>
          <w:numId w:val="4"/>
        </w:numPr>
        <w:suppressAutoHyphens/>
        <w:spacing w:after="160" w:line="256" w:lineRule="auto"/>
        <w:jc w:val="both"/>
      </w:pPr>
      <w:r>
        <w:rPr>
          <w:rFonts w:ascii="Times New Roman" w:hAnsi="Times New Roman"/>
          <w:sz w:val="24"/>
          <w:szCs w:val="24"/>
        </w:rPr>
        <w:t>Predvideti prostor za širitev šolske zgradbe v prihodnosti (če/ko bo potreba). Ker je to manj verjetna oz. bolj oddaljena možnost je dovolj, da projekt samo predvidi prostor in ga ne zasede z vsebinami, ki jih kasneje ni mogoče odstraniti. Naj ga zasede z vsebinami katerih izgradnja in kasnejša odstranitev ne povzročata velikih stroškov. Npr. šolski vrt, že zgrajena parkirna mesta, ...</w:t>
      </w:r>
    </w:p>
    <w:p w:rsidR="0016165F" w:rsidRDefault="0016165F" w:rsidP="0016165F">
      <w:pPr>
        <w:jc w:val="both"/>
        <w:rPr>
          <w:rFonts w:ascii="Times New Roman" w:hAnsi="Times New Roman"/>
          <w:sz w:val="28"/>
          <w:szCs w:val="28"/>
        </w:rPr>
      </w:pPr>
    </w:p>
    <w:p w:rsidR="0016165F" w:rsidRDefault="0016165F" w:rsidP="0016165F">
      <w:pPr>
        <w:pageBreakBefore/>
        <w:jc w:val="both"/>
      </w:pPr>
      <w:r>
        <w:rPr>
          <w:rFonts w:ascii="Times New Roman" w:eastAsia="ヒラギノ角ゴ Pro W3" w:hAnsi="Times New Roman" w:cs="Times New Roman Bold"/>
          <w:b/>
          <w:bCs/>
          <w:sz w:val="28"/>
          <w:szCs w:val="28"/>
        </w:rPr>
        <w:t>Problemi trenutnega predloga projekta glede na gornja izhodišča</w:t>
      </w:r>
    </w:p>
    <w:p w:rsidR="0016165F" w:rsidRDefault="0016165F" w:rsidP="0016165F">
      <w:pPr>
        <w:jc w:val="both"/>
        <w:rPr>
          <w:rFonts w:ascii="Times New Roman" w:eastAsia="ヒラギノ角ゴ Pro W3" w:hAnsi="Times New Roman" w:cs="Times New Roman Bold"/>
          <w:color w:val="000000"/>
          <w:sz w:val="24"/>
          <w:szCs w:val="24"/>
        </w:rPr>
      </w:pPr>
    </w:p>
    <w:p w:rsidR="0016165F" w:rsidRDefault="0016165F" w:rsidP="0016165F">
      <w:pPr>
        <w:numPr>
          <w:ilvl w:val="0"/>
          <w:numId w:val="5"/>
        </w:numPr>
        <w:suppressAutoHyphens/>
        <w:spacing w:after="160" w:line="256" w:lineRule="auto"/>
        <w:jc w:val="both"/>
      </w:pPr>
      <w:r>
        <w:rPr>
          <w:rFonts w:ascii="Times New Roman" w:hAnsi="Times New Roman"/>
          <w:sz w:val="24"/>
          <w:szCs w:val="24"/>
        </w:rPr>
        <w:t>Število parkirnih mest glede na obstoječe stanje in glede na to, da predlog ne rešuje parkiranja zaposlenih ostaja praktično enako kot trenutno stanje. Ni izboljšave. Ni rešenega prostornega parkiranja z 1 metrskim razmikom za lažje odpiranje vrat (kot je to v Lescah). Vsaj nekaj parkirnih mest bi bilo pametno imeti takih.</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Ker predlog ne rešuje parkiranja zaposlenih, bodo v praksi razpoložljiva parkirna mesta (11) zasedena z avtomobili zaposlenih (9), kar pomeni da za starše ostaneta samo 2 parkirni mesti + 2 mesti za kratkotrajno ustavljanje (niti ne 15 minutno kratkotrajno parkiranje, kot je razloženo v zadnjem poglavju). Ni rešenega parkiranja zaposlenih.</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Predlog ne obravnava parkiranja večjega števila obiskovalcev.</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 xml:space="preserve">Avtobus opisan pod poglavjem </w:t>
      </w:r>
      <w:r>
        <w:rPr>
          <w:rFonts w:ascii="Times New Roman" w:eastAsia="ヒラギノ角ゴ Pro W3" w:hAnsi="Times New Roman" w:cs="Times New Roman Bold"/>
          <w:sz w:val="24"/>
          <w:szCs w:val="24"/>
        </w:rPr>
        <w:t>Dobre rešitve trenutnega predloga.</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Predlog ne predvideva intervencijskih dostopov.</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Dostava do šolske kuhinje je rešena slabše kot trenutno, kar pomeni, da se bo v praksi uporabljala obstoječa rešitev, bo pa problem, ker bo pri tem potrebna vožnja čez pločnik. Zmanjšanje varnosti.</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Izredna dostava do šole/telovadnice/kurilnice je možna zgolj preko pločnika.</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Zahodni EKO otok (pri glavnem vhodu šole) nima rešenega dostopa komunalnih vozil razen preko pločnikov.</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Umestitev ekoloških otokov (ni potrebe, da so pokriti):</w:t>
      </w:r>
    </w:p>
    <w:p w:rsidR="0016165F" w:rsidRDefault="0016165F" w:rsidP="0016165F">
      <w:pPr>
        <w:numPr>
          <w:ilvl w:val="2"/>
          <w:numId w:val="6"/>
        </w:numPr>
        <w:tabs>
          <w:tab w:val="left" w:pos="1165"/>
        </w:tabs>
        <w:suppressAutoHyphens/>
        <w:spacing w:after="160" w:line="256" w:lineRule="auto"/>
        <w:ind w:left="1080" w:hanging="360"/>
        <w:jc w:val="both"/>
      </w:pPr>
      <w:r>
        <w:rPr>
          <w:rFonts w:ascii="Times New Roman" w:hAnsi="Times New Roman"/>
          <w:sz w:val="24"/>
          <w:szCs w:val="24"/>
        </w:rPr>
        <w:t xml:space="preserve">Tik ob/pred vzhodni EKO otok bi bilo smiselno postaviti še mesto za varno zaustavitev vozila ob </w:t>
      </w:r>
      <w:proofErr w:type="spellStart"/>
      <w:r>
        <w:rPr>
          <w:rFonts w:ascii="Times New Roman" w:hAnsi="Times New Roman"/>
          <w:sz w:val="24"/>
          <w:szCs w:val="24"/>
        </w:rPr>
        <w:t>praznenju</w:t>
      </w:r>
      <w:proofErr w:type="spellEnd"/>
      <w:r>
        <w:rPr>
          <w:rFonts w:ascii="Times New Roman" w:hAnsi="Times New Roman"/>
          <w:sz w:val="24"/>
          <w:szCs w:val="24"/>
        </w:rPr>
        <w:t xml:space="preserve"> odpadkov, da ne bodo vozila stala sredi ceste.</w:t>
      </w:r>
    </w:p>
    <w:p w:rsidR="0016165F" w:rsidRDefault="0016165F" w:rsidP="0016165F">
      <w:pPr>
        <w:numPr>
          <w:ilvl w:val="0"/>
          <w:numId w:val="6"/>
        </w:numPr>
        <w:suppressAutoHyphens/>
        <w:spacing w:after="160" w:line="256" w:lineRule="auto"/>
        <w:ind w:left="1080" w:hanging="360"/>
        <w:jc w:val="both"/>
      </w:pPr>
      <w:r>
        <w:rPr>
          <w:rFonts w:ascii="Times New Roman" w:hAnsi="Times New Roman"/>
          <w:sz w:val="24"/>
          <w:szCs w:val="24"/>
        </w:rPr>
        <w:t>Vzhodni EKO otok ni namenjen šoli, ampak stanovalcem, zato ni potrebe, da je kot sedaj, na območju šole. Vredno bi bilo razmisliti, da bi stal na območju šikane.</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Znotraj krožišča se ureja tlakovan prostor s klopmi in kolesarnico, kar ni sprejemljivo iz sledečih razlogov:</w:t>
      </w:r>
    </w:p>
    <w:p w:rsidR="0016165F" w:rsidRDefault="0016165F" w:rsidP="0016165F">
      <w:pPr>
        <w:numPr>
          <w:ilvl w:val="1"/>
          <w:numId w:val="6"/>
        </w:numPr>
        <w:suppressAutoHyphens/>
        <w:spacing w:after="160" w:line="256" w:lineRule="auto"/>
        <w:jc w:val="both"/>
      </w:pPr>
      <w:r>
        <w:rPr>
          <w:rFonts w:ascii="Times New Roman" w:hAnsi="Times New Roman"/>
          <w:sz w:val="24"/>
          <w:szCs w:val="24"/>
        </w:rPr>
        <w:t xml:space="preserve">Kolesarnico postaviti bližje šolskemu poslopju, da so kolesa v vidnem polju učiteljic (varovanje) in da je pot kolesarja/pešca brez prečkanja glavne dovozne ceste na parkirišče po tem, ko parkira kolo, brezglavo »bezlja« nazaj, ker je pozabil zakleniti kolo, itd. </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Šolsko igrišče: znotraj krožišča se ureja tlakovan prostor s klopmi in kolesarnico. Kar ni sprejemljivo iz sledečih razlogov:</w:t>
      </w:r>
    </w:p>
    <w:p w:rsidR="0016165F" w:rsidRDefault="0016165F" w:rsidP="0016165F">
      <w:pPr>
        <w:numPr>
          <w:ilvl w:val="2"/>
          <w:numId w:val="6"/>
        </w:numPr>
        <w:tabs>
          <w:tab w:val="left" w:pos="1081"/>
        </w:tabs>
        <w:suppressAutoHyphens/>
        <w:spacing w:after="160" w:line="256" w:lineRule="auto"/>
        <w:ind w:left="1080" w:hanging="360"/>
        <w:jc w:val="both"/>
      </w:pPr>
      <w:r>
        <w:rPr>
          <w:rFonts w:ascii="Times New Roman" w:hAnsi="Times New Roman"/>
          <w:sz w:val="24"/>
          <w:szCs w:val="24"/>
        </w:rPr>
        <w:t>urejanje še enega prostora za druženje (v PZI je predvideno tlakovanje in klopce, javna razsvetljava) ob pomanjkanju denarja v proračunu ni smotrno. Bolj smiselno je ta sredstva uporabiti na šolskem/otroškem igrišču, saj so tam ista sredstva uporabljana dvakrat. V dopoldanskem času za šolsko dejavnost, izven šolskega časa za druženje otrok, mladih, družin. Bolje je imeti eno skupno območje, kot pa dve razdrobljeni.</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Ni zagotovljene zavarovane poti otrok med šolskim poslopjem in šolskim igriščem. Ko gre otrok v popoldanskem varstvu iz igrišča na WC, zapusti ograjo šolskega igrišča in gre preko prometne površine (parkirišča) v šolsko zgradbo. Potrebno bi bilo zagotoviti direktno povezavo med šolo in igriščem brez potrebe po zapuščanju ograde.</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Trenutni predlog ne ureja dvorišča pred vstopom v šolo.</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Trenutni predlog ne ureja kapelice na JV delu območja.</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Trenutni predlog ne predvideva učilnice v naravi, šolskega vrta, dostopa do njiju.</w:t>
      </w:r>
    </w:p>
    <w:p w:rsidR="0016165F" w:rsidRDefault="0016165F" w:rsidP="0016165F">
      <w:pPr>
        <w:numPr>
          <w:ilvl w:val="0"/>
          <w:numId w:val="5"/>
        </w:numPr>
        <w:suppressAutoHyphens/>
        <w:spacing w:after="160" w:line="256" w:lineRule="auto"/>
        <w:jc w:val="both"/>
      </w:pPr>
      <w:r>
        <w:rPr>
          <w:rFonts w:ascii="Times New Roman" w:hAnsi="Times New Roman"/>
          <w:sz w:val="24"/>
          <w:szCs w:val="24"/>
        </w:rPr>
        <w:t>Možnosti širitve šole:</w:t>
      </w:r>
    </w:p>
    <w:p w:rsidR="0016165F" w:rsidRDefault="0016165F" w:rsidP="0016165F">
      <w:pPr>
        <w:numPr>
          <w:ilvl w:val="3"/>
          <w:numId w:val="6"/>
        </w:numPr>
        <w:tabs>
          <w:tab w:val="left" w:pos="1081"/>
        </w:tabs>
        <w:suppressAutoHyphens/>
        <w:spacing w:after="160" w:line="256" w:lineRule="auto"/>
        <w:ind w:left="1080" w:hanging="360"/>
        <w:jc w:val="both"/>
      </w:pPr>
      <w:r>
        <w:rPr>
          <w:rFonts w:ascii="Times New Roman" w:hAnsi="Times New Roman"/>
          <w:sz w:val="24"/>
          <w:szCs w:val="24"/>
        </w:rPr>
        <w:t>Prostor zahodno od uvoza na novo parkirišče in severno od šolskega poslopja je v predlogu neizkoriščen za promet, saj je po predlogu dostop do tega prostora možen samo preko pločnikov. Čemu bi potem ta prostor bil namenjen?</w:t>
      </w:r>
    </w:p>
    <w:p w:rsidR="0016165F" w:rsidRDefault="0016165F" w:rsidP="0016165F">
      <w:pPr>
        <w:numPr>
          <w:ilvl w:val="2"/>
          <w:numId w:val="6"/>
        </w:numPr>
        <w:tabs>
          <w:tab w:val="left" w:pos="1081"/>
        </w:tabs>
        <w:suppressAutoHyphens/>
        <w:spacing w:after="160" w:line="256" w:lineRule="auto"/>
        <w:ind w:left="1080" w:hanging="360"/>
        <w:jc w:val="both"/>
      </w:pPr>
      <w:r>
        <w:rPr>
          <w:rFonts w:ascii="Times New Roman" w:hAnsi="Times New Roman"/>
          <w:sz w:val="24"/>
          <w:szCs w:val="24"/>
        </w:rPr>
        <w:t xml:space="preserve">Prostor vzhodno od obstoječega šolskega poslopja, ki je videti najprimernejši za potencialno povečanje šole, pa je po drugi strani zaseden s cesto in parkiriščem. Potrebno je poiskati bolj optimalno rešitev te in predhodne točke skupaj. Smiselno je območje severno od šole porabiti primarno za kvalitetno rešitev prometne problematike in zgolj, če dovolj prostora ostaja na razpolago, nameniti še drugim vsebinam, ki so združljive s prometom (npr. zelene površine, </w:t>
      </w:r>
      <w:proofErr w:type="spellStart"/>
      <w:r>
        <w:rPr>
          <w:rFonts w:ascii="Times New Roman" w:hAnsi="Times New Roman"/>
          <w:sz w:val="24"/>
          <w:szCs w:val="24"/>
        </w:rPr>
        <w:t>eko</w:t>
      </w:r>
      <w:proofErr w:type="spellEnd"/>
      <w:r>
        <w:rPr>
          <w:rFonts w:ascii="Times New Roman" w:hAnsi="Times New Roman"/>
          <w:sz w:val="24"/>
          <w:szCs w:val="24"/>
        </w:rPr>
        <w:t xml:space="preserve"> otoki, …).</w:t>
      </w:r>
    </w:p>
    <w:p w:rsidR="0016165F" w:rsidRDefault="0016165F" w:rsidP="0016165F">
      <w:pPr>
        <w:ind w:left="720"/>
        <w:jc w:val="both"/>
        <w:rPr>
          <w:rFonts w:ascii="Times New Roman" w:hAnsi="Times New Roman"/>
          <w:color w:val="000000"/>
          <w:sz w:val="24"/>
          <w:szCs w:val="24"/>
        </w:rPr>
      </w:pPr>
    </w:p>
    <w:p w:rsidR="0016165F" w:rsidRDefault="0016165F" w:rsidP="0016165F">
      <w:pPr>
        <w:jc w:val="both"/>
        <w:rPr>
          <w:rFonts w:ascii="Times New Roman" w:hAnsi="Times New Roman"/>
          <w:color w:val="000000"/>
          <w:sz w:val="24"/>
          <w:szCs w:val="24"/>
        </w:rPr>
      </w:pPr>
    </w:p>
    <w:p w:rsidR="0016165F" w:rsidRDefault="0016165F" w:rsidP="0016165F">
      <w:pPr>
        <w:jc w:val="both"/>
      </w:pPr>
      <w:r>
        <w:rPr>
          <w:rFonts w:ascii="Times New Roman" w:eastAsia="ヒラギノ角ゴ Pro W3" w:hAnsi="Times New Roman" w:cs="Times New Roman Bold"/>
          <w:b/>
          <w:bCs/>
          <w:sz w:val="28"/>
          <w:szCs w:val="28"/>
        </w:rPr>
        <w:t>Dobre rešitve trenutnega predloga</w:t>
      </w:r>
      <w:r>
        <w:rPr>
          <w:rFonts w:ascii="Times New Roman" w:eastAsia="ヒラギノ角ゴ Pro W3" w:hAnsi="Times New Roman" w:cs="Times New Roman Bold"/>
          <w:b/>
          <w:bCs/>
          <w:color w:val="000000"/>
          <w:sz w:val="28"/>
          <w:szCs w:val="28"/>
        </w:rPr>
        <w:t xml:space="preserve"> v PZI</w:t>
      </w:r>
    </w:p>
    <w:p w:rsidR="0016165F" w:rsidRDefault="0016165F" w:rsidP="0016165F">
      <w:pPr>
        <w:jc w:val="both"/>
        <w:rPr>
          <w:rFonts w:ascii="Times New Roman" w:eastAsia="ヒラギノ角ゴ Pro W3" w:hAnsi="Times New Roman" w:cs="Times New Roman Bold"/>
          <w:color w:val="000000"/>
          <w:sz w:val="24"/>
          <w:szCs w:val="24"/>
        </w:rPr>
      </w:pPr>
    </w:p>
    <w:p w:rsidR="0016165F" w:rsidRDefault="0016165F" w:rsidP="0016165F">
      <w:pPr>
        <w:numPr>
          <w:ilvl w:val="0"/>
          <w:numId w:val="2"/>
        </w:numPr>
        <w:suppressAutoHyphens/>
        <w:spacing w:after="160" w:line="256" w:lineRule="auto"/>
        <w:ind w:left="720" w:hanging="360"/>
        <w:jc w:val="both"/>
      </w:pPr>
      <w:r>
        <w:rPr>
          <w:rFonts w:ascii="Times New Roman" w:eastAsia="ヒラギノ角ゴ Pro W3" w:hAnsi="Times New Roman" w:cs="Times New Roman Bold"/>
          <w:color w:val="000000"/>
          <w:sz w:val="24"/>
          <w:szCs w:val="24"/>
        </w:rPr>
        <w:t>Število parkirnih prostorov za starše je zadostno. Zagotovljen je krožni promet staršev večinoma brez vzvratne vožnje. Še boljše bi bilo tako kot je v Lescah, kjer za del parkirnih mest (bližje vhodu) sploh ni potrebna vzvratna vožnja.</w:t>
      </w:r>
    </w:p>
    <w:p w:rsidR="0016165F" w:rsidRDefault="0016165F" w:rsidP="0016165F">
      <w:pPr>
        <w:numPr>
          <w:ilvl w:val="0"/>
          <w:numId w:val="2"/>
        </w:numPr>
        <w:suppressAutoHyphens/>
        <w:spacing w:after="160" w:line="256" w:lineRule="auto"/>
        <w:ind w:left="720" w:hanging="360"/>
        <w:jc w:val="both"/>
      </w:pPr>
      <w:r>
        <w:rPr>
          <w:rFonts w:ascii="Times New Roman" w:hAnsi="Times New Roman"/>
          <w:sz w:val="24"/>
          <w:szCs w:val="24"/>
        </w:rPr>
        <w:t xml:space="preserve">Uvede se šikana proti </w:t>
      </w:r>
      <w:proofErr w:type="spellStart"/>
      <w:r>
        <w:rPr>
          <w:rFonts w:ascii="Times New Roman" w:hAnsi="Times New Roman"/>
          <w:sz w:val="24"/>
          <w:szCs w:val="24"/>
        </w:rPr>
        <w:t>Drnči</w:t>
      </w:r>
      <w:proofErr w:type="spellEnd"/>
      <w:r>
        <w:rPr>
          <w:rFonts w:ascii="Times New Roman" w:hAnsi="Times New Roman"/>
          <w:sz w:val="24"/>
          <w:szCs w:val="24"/>
        </w:rPr>
        <w:t xml:space="preserve"> za umirjanje prometa.</w:t>
      </w:r>
    </w:p>
    <w:p w:rsidR="0016165F" w:rsidRDefault="0016165F" w:rsidP="0016165F">
      <w:pPr>
        <w:numPr>
          <w:ilvl w:val="0"/>
          <w:numId w:val="2"/>
        </w:numPr>
        <w:suppressAutoHyphens/>
        <w:spacing w:after="160" w:line="256" w:lineRule="auto"/>
        <w:ind w:left="720" w:hanging="360"/>
        <w:jc w:val="both"/>
      </w:pPr>
      <w:r>
        <w:rPr>
          <w:rFonts w:ascii="Times New Roman" w:hAnsi="Times New Roman"/>
          <w:sz w:val="24"/>
          <w:szCs w:val="24"/>
        </w:rPr>
        <w:t>Uvedba kolesarnice.</w:t>
      </w:r>
    </w:p>
    <w:p w:rsidR="0016165F" w:rsidRDefault="0016165F" w:rsidP="0016165F">
      <w:pPr>
        <w:numPr>
          <w:ilvl w:val="0"/>
          <w:numId w:val="2"/>
        </w:numPr>
        <w:suppressAutoHyphens/>
        <w:spacing w:after="160" w:line="256" w:lineRule="auto"/>
        <w:ind w:left="720" w:hanging="360"/>
        <w:jc w:val="both"/>
      </w:pPr>
      <w:r>
        <w:rPr>
          <w:rFonts w:ascii="Times New Roman" w:hAnsi="Times New Roman"/>
          <w:sz w:val="24"/>
          <w:szCs w:val="24"/>
        </w:rPr>
        <w:t xml:space="preserve">Možnost prihoda avtobusa: </w:t>
      </w:r>
    </w:p>
    <w:p w:rsidR="0016165F" w:rsidRDefault="0016165F" w:rsidP="0016165F">
      <w:pPr>
        <w:numPr>
          <w:ilvl w:val="1"/>
          <w:numId w:val="3"/>
        </w:numPr>
        <w:suppressAutoHyphens/>
        <w:spacing w:after="160" w:line="256" w:lineRule="auto"/>
        <w:ind w:left="1080" w:hanging="360"/>
        <w:jc w:val="both"/>
      </w:pPr>
      <w:r>
        <w:rPr>
          <w:rFonts w:ascii="Times New Roman" w:hAnsi="Times New Roman"/>
          <w:sz w:val="24"/>
          <w:szCs w:val="24"/>
        </w:rPr>
        <w:t>Avtobus lahko pripelje v in odpelje iz krožišča, vendar samo, če mu je na razpolago celotno cestišče, iz česar sledi, da sta 2 parkirni mesti narisani na zahodni strani uvoza le mesti za kratkotrajno zaustavljanje, pri čemer mora voznik biti v vozilu, izstopa se samo na desni strani vozila, ne pa parkirni mesti za kratkotrajno parkiranje 15 minut, kot je označeno v PZI, ker potem redni šolski avtobus ne more zapeljati v krožišče. To je povsem OK, samo zmanjša skupno število parkirnih prostorov.</w:t>
      </w:r>
    </w:p>
    <w:p w:rsidR="0016165F" w:rsidRDefault="0016165F" w:rsidP="0016165F">
      <w:pPr>
        <w:ind w:left="1080"/>
        <w:jc w:val="both"/>
        <w:rPr>
          <w:rFonts w:ascii="Times New Roman" w:hAnsi="Times New Roman"/>
          <w:sz w:val="24"/>
          <w:szCs w:val="24"/>
        </w:rPr>
      </w:pPr>
      <w:r>
        <w:rPr>
          <w:rFonts w:ascii="Times New Roman" w:hAnsi="Times New Roman"/>
          <w:noProof/>
          <w:sz w:val="24"/>
          <w:szCs w:val="24"/>
        </w:rPr>
        <w:drawing>
          <wp:inline distT="0" distB="0" distL="0" distR="0">
            <wp:extent cx="2800350" cy="29051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0" t="-18" r="-20" b="-18"/>
                    <a:stretch>
                      <a:fillRect/>
                    </a:stretch>
                  </pic:blipFill>
                  <pic:spPr bwMode="auto">
                    <a:xfrm>
                      <a:off x="0" y="0"/>
                      <a:ext cx="2800350" cy="2905125"/>
                    </a:xfrm>
                    <a:prstGeom prst="rect">
                      <a:avLst/>
                    </a:prstGeom>
                    <a:solidFill>
                      <a:srgbClr val="FFFFFF"/>
                    </a:solidFill>
                    <a:ln>
                      <a:noFill/>
                    </a:ln>
                  </pic:spPr>
                </pic:pic>
              </a:graphicData>
            </a:graphic>
          </wp:inline>
        </w:drawing>
      </w:r>
    </w:p>
    <w:p w:rsidR="0016165F" w:rsidRDefault="0016165F" w:rsidP="0016165F">
      <w:pPr>
        <w:numPr>
          <w:ilvl w:val="1"/>
          <w:numId w:val="3"/>
        </w:numPr>
        <w:suppressAutoHyphens/>
        <w:spacing w:after="160" w:line="256" w:lineRule="auto"/>
        <w:ind w:left="1080" w:hanging="360"/>
        <w:jc w:val="both"/>
      </w:pPr>
      <w:r>
        <w:rPr>
          <w:rFonts w:ascii="Times New Roman" w:hAnsi="Times New Roman"/>
          <w:sz w:val="24"/>
          <w:szCs w:val="24"/>
        </w:rPr>
        <w:t xml:space="preserve">Avtobus lahko odpelje pri izvozu iz parkirišča samo proti severu, ne more pa zapeljati proti jugu, kar je povsem OK, saj je v skladu s stališčem sveta KS, da je potrebno zgraditi povezovalno cesto med </w:t>
      </w:r>
      <w:proofErr w:type="spellStart"/>
      <w:r>
        <w:rPr>
          <w:rFonts w:ascii="Times New Roman" w:hAnsi="Times New Roman"/>
          <w:sz w:val="24"/>
          <w:szCs w:val="24"/>
        </w:rPr>
        <w:t>Poddobravo</w:t>
      </w:r>
      <w:proofErr w:type="spellEnd"/>
      <w:r>
        <w:rPr>
          <w:rFonts w:ascii="Times New Roman" w:hAnsi="Times New Roman"/>
          <w:sz w:val="24"/>
          <w:szCs w:val="24"/>
        </w:rPr>
        <w:t xml:space="preserve"> in centrom Begunj nad Elanom in stališčem OP KS Begunje, da se po izgradnji te povezovalne ceste, cesta proti </w:t>
      </w:r>
      <w:proofErr w:type="spellStart"/>
      <w:r>
        <w:rPr>
          <w:rFonts w:ascii="Times New Roman" w:hAnsi="Times New Roman"/>
          <w:sz w:val="24"/>
          <w:szCs w:val="24"/>
        </w:rPr>
        <w:t>Drnči</w:t>
      </w:r>
      <w:proofErr w:type="spellEnd"/>
      <w:r>
        <w:rPr>
          <w:rFonts w:ascii="Times New Roman" w:hAnsi="Times New Roman"/>
          <w:sz w:val="24"/>
          <w:szCs w:val="24"/>
        </w:rPr>
        <w:t xml:space="preserve"> zapre za promet, razen za pešce, kolesarje in lastnike zemljišč.</w:t>
      </w:r>
    </w:p>
    <w:p w:rsidR="0016165F" w:rsidRDefault="0016165F" w:rsidP="0016165F">
      <w:pPr>
        <w:numPr>
          <w:ilvl w:val="0"/>
          <w:numId w:val="2"/>
        </w:numPr>
        <w:suppressAutoHyphens/>
        <w:spacing w:after="0" w:line="256" w:lineRule="auto"/>
        <w:ind w:left="720" w:hanging="360"/>
        <w:jc w:val="both"/>
      </w:pPr>
      <w:r>
        <w:rPr>
          <w:rFonts w:ascii="Times New Roman" w:hAnsi="Times New Roman"/>
          <w:sz w:val="24"/>
          <w:szCs w:val="24"/>
        </w:rPr>
        <w:t xml:space="preserve">Peš/kolesarska povezava šole in središča Begunj je v PZI dobro rešena, saj je potrebno zagotoviti, da otroci čim manj časa hodijo po ozkih ulicah brez pločnikov. Mikrolokacijo peš/kolesarske povezave bi bilo potrebno smiselno določiti z lastniki zemljišč in potencialno spremembo dela trase JP849425, da bi bila bolj smiselna za lastnike. Ob predlagani varianti po PZI javna pot poteka po dveh krakih. Smiselno bi jo bilo združiti v enotno pot. Vendar ta predlagana rešitev reši samo smer proti središču vasi Poljčam. Kljub temu menimo, da bi skupaj z izgradnjo povezovalne ceste </w:t>
      </w:r>
      <w:proofErr w:type="spellStart"/>
      <w:r>
        <w:rPr>
          <w:rFonts w:ascii="Times New Roman" w:hAnsi="Times New Roman"/>
          <w:sz w:val="24"/>
          <w:szCs w:val="24"/>
        </w:rPr>
        <w:t>Poddobrava</w:t>
      </w:r>
      <w:proofErr w:type="spellEnd"/>
      <w:r>
        <w:rPr>
          <w:rFonts w:ascii="Times New Roman" w:hAnsi="Times New Roman"/>
          <w:sz w:val="24"/>
          <w:szCs w:val="24"/>
        </w:rPr>
        <w:t>-Begunje dolgoročno kvalitetno rešili tudi smeri proti cerkvi in proti Zgoši, saj bi omenjeni cesti postali rezervirani za lokalni promet, s čimer količina prometa upade, prebivalci ulice pa v svoji ulici vedno vozijo bolj previdno kot drugod.</w:t>
      </w:r>
    </w:p>
    <w:p w:rsidR="0016165F" w:rsidRDefault="0016165F" w:rsidP="0016165F">
      <w:pPr>
        <w:spacing w:after="0"/>
        <w:jc w:val="both"/>
        <w:rPr>
          <w:rFonts w:ascii="Times New Roman" w:hAnsi="Times New Roman"/>
          <w:sz w:val="24"/>
          <w:szCs w:val="24"/>
        </w:rPr>
      </w:pPr>
    </w:p>
    <w:p w:rsidR="0016165F" w:rsidRDefault="0016165F" w:rsidP="0016165F">
      <w:pPr>
        <w:spacing w:after="0"/>
        <w:jc w:val="both"/>
        <w:rPr>
          <w:rFonts w:ascii="Times New Roman" w:hAnsi="Times New Roman"/>
          <w:sz w:val="24"/>
          <w:szCs w:val="24"/>
        </w:rPr>
      </w:pPr>
    </w:p>
    <w:p w:rsidR="0016165F" w:rsidRDefault="0016165F" w:rsidP="0016165F">
      <w:pPr>
        <w:spacing w:after="0"/>
        <w:ind w:left="720"/>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hAnsi="Times New Roman"/>
          <w:sz w:val="24"/>
          <w:szCs w:val="24"/>
        </w:rPr>
        <w:t>Marija Hrovat</w:t>
      </w:r>
    </w:p>
    <w:p w:rsidR="0016165F" w:rsidRDefault="0016165F" w:rsidP="0016165F">
      <w:pPr>
        <w:spacing w:after="0"/>
        <w:ind w:left="720"/>
        <w:jc w:val="both"/>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hAnsi="Times New Roman"/>
          <w:sz w:val="24"/>
          <w:szCs w:val="24"/>
        </w:rPr>
        <w:t>Predsednica sveta KS Begunje</w:t>
      </w:r>
    </w:p>
    <w:p w:rsidR="0016165F" w:rsidRDefault="0016165F" w:rsidP="0016165F">
      <w:pPr>
        <w:spacing w:after="0"/>
        <w:ind w:left="720"/>
        <w:jc w:val="both"/>
        <w:rPr>
          <w:rFonts w:ascii="Times New Roman" w:hAnsi="Times New Roman"/>
          <w:sz w:val="24"/>
          <w:szCs w:val="24"/>
        </w:rPr>
      </w:pPr>
    </w:p>
    <w:p w:rsidR="0016165F" w:rsidRDefault="0016165F" w:rsidP="0016165F">
      <w:pPr>
        <w:spacing w:after="0"/>
        <w:ind w:left="720"/>
        <w:jc w:val="both"/>
      </w:pPr>
      <w:r>
        <w:rPr>
          <w:rFonts w:ascii="Times New Roman" w:hAnsi="Times New Roman"/>
          <w:sz w:val="24"/>
          <w:szCs w:val="24"/>
        </w:rPr>
        <w:t>POSLANO:</w:t>
      </w:r>
    </w:p>
    <w:p w:rsidR="0016165F" w:rsidRDefault="0016165F" w:rsidP="0016165F">
      <w:pPr>
        <w:spacing w:after="0"/>
        <w:ind w:left="720"/>
        <w:jc w:val="both"/>
      </w:pPr>
    </w:p>
    <w:p w:rsidR="0016165F" w:rsidRDefault="0016165F" w:rsidP="0016165F">
      <w:pPr>
        <w:numPr>
          <w:ilvl w:val="0"/>
          <w:numId w:val="8"/>
        </w:numPr>
        <w:suppressAutoHyphens/>
        <w:spacing w:after="0" w:line="256" w:lineRule="auto"/>
        <w:jc w:val="both"/>
      </w:pPr>
      <w:r>
        <w:rPr>
          <w:rFonts w:ascii="Times New Roman" w:hAnsi="Times New Roman"/>
          <w:sz w:val="24"/>
          <w:szCs w:val="24"/>
        </w:rPr>
        <w:t xml:space="preserve">Občini Radovljica, </w:t>
      </w:r>
      <w:bookmarkStart w:id="1" w:name="main_title"/>
      <w:bookmarkEnd w:id="1"/>
      <w:r>
        <w:rPr>
          <w:rFonts w:ascii="Times New Roman" w:hAnsi="Times New Roman"/>
          <w:color w:val="000000"/>
          <w:sz w:val="24"/>
          <w:szCs w:val="24"/>
        </w:rPr>
        <w:t>Oddelek za infrastrukturo, okolje, prostor in investicije</w:t>
      </w:r>
    </w:p>
    <w:p w:rsidR="0016165F" w:rsidRDefault="0016165F" w:rsidP="0016165F">
      <w:pPr>
        <w:numPr>
          <w:ilvl w:val="0"/>
          <w:numId w:val="8"/>
        </w:numPr>
        <w:suppressAutoHyphens/>
        <w:spacing w:after="0" w:line="256" w:lineRule="auto"/>
        <w:jc w:val="both"/>
      </w:pPr>
      <w:r>
        <w:rPr>
          <w:rFonts w:ascii="Times New Roman" w:hAnsi="Times New Roman"/>
          <w:color w:val="000000"/>
          <w:sz w:val="24"/>
          <w:szCs w:val="24"/>
        </w:rPr>
        <w:t>Osnovni šoli Begunje</w:t>
      </w:r>
    </w:p>
    <w:p w:rsidR="0016165F" w:rsidRDefault="0016165F" w:rsidP="0016165F">
      <w:pPr>
        <w:numPr>
          <w:ilvl w:val="0"/>
          <w:numId w:val="8"/>
        </w:numPr>
        <w:suppressAutoHyphens/>
        <w:spacing w:after="0" w:line="256" w:lineRule="auto"/>
        <w:jc w:val="both"/>
      </w:pPr>
      <w:r>
        <w:rPr>
          <w:rFonts w:ascii="Times New Roman" w:hAnsi="Times New Roman"/>
          <w:color w:val="000000"/>
          <w:sz w:val="24"/>
          <w:szCs w:val="24"/>
        </w:rPr>
        <w:t>OŠ F.S. Finžgar Lesce</w:t>
      </w:r>
    </w:p>
    <w:p w:rsidR="0016165F" w:rsidRDefault="0016165F" w:rsidP="0016165F">
      <w:pPr>
        <w:numPr>
          <w:ilvl w:val="0"/>
          <w:numId w:val="8"/>
        </w:numPr>
        <w:suppressAutoHyphens/>
        <w:spacing w:after="0" w:line="256" w:lineRule="auto"/>
        <w:jc w:val="both"/>
      </w:pPr>
      <w:r>
        <w:rPr>
          <w:rFonts w:ascii="Times New Roman" w:hAnsi="Times New Roman"/>
          <w:color w:val="000000"/>
          <w:sz w:val="24"/>
          <w:szCs w:val="24"/>
        </w:rPr>
        <w:t>Članom sveta KS Begunje</w:t>
      </w:r>
    </w:p>
    <w:p w:rsidR="0016165F" w:rsidRDefault="0016165F" w:rsidP="0016165F">
      <w:pPr>
        <w:numPr>
          <w:ilvl w:val="0"/>
          <w:numId w:val="8"/>
        </w:numPr>
        <w:suppressAutoHyphens/>
        <w:spacing w:after="0" w:line="256" w:lineRule="auto"/>
        <w:jc w:val="both"/>
      </w:pPr>
      <w:r>
        <w:rPr>
          <w:rFonts w:ascii="Times New Roman" w:hAnsi="Times New Roman"/>
          <w:color w:val="000000"/>
          <w:sz w:val="24"/>
          <w:szCs w:val="24"/>
        </w:rPr>
        <w:t>arhivu KS Begunje</w:t>
      </w:r>
    </w:p>
    <w:p w:rsidR="00133929" w:rsidRDefault="00133929" w:rsidP="0016165F">
      <w:pPr>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p w:rsidR="004A1618" w:rsidRDefault="004A1618" w:rsidP="00E33C09">
      <w:pPr>
        <w:jc w:val="both"/>
        <w:rPr>
          <w:rFonts w:cs="Arial"/>
          <w:sz w:val="24"/>
          <w:szCs w:val="24"/>
        </w:rPr>
      </w:pPr>
    </w:p>
    <w:sectPr w:rsidR="004A1618" w:rsidSect="004A1618">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676" w:rsidRDefault="00211676" w:rsidP="00FC7F69">
      <w:pPr>
        <w:spacing w:after="0" w:line="240" w:lineRule="auto"/>
      </w:pPr>
      <w:r>
        <w:separator/>
      </w:r>
    </w:p>
  </w:endnote>
  <w:endnote w:type="continuationSeparator" w:id="0">
    <w:p w:rsidR="00211676" w:rsidRDefault="00211676" w:rsidP="00FC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E1CC32D0t00">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OpenSymbol">
    <w:altName w:val="Segoe UI Symbol"/>
    <w:charset w:val="02"/>
    <w:family w:val="auto"/>
    <w:pitch w:val="default"/>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Times New Roman Bold">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18" w:rsidRPr="00690BC8" w:rsidRDefault="004A1618" w:rsidP="004A1618">
    <w:pPr>
      <w:pStyle w:val="Noga"/>
      <w:rPr>
        <w:sz w:val="20"/>
        <w:szCs w:val="20"/>
      </w:rPr>
    </w:pPr>
  </w:p>
  <w:p w:rsidR="00E33C09" w:rsidRPr="00690BC8" w:rsidRDefault="00E33C09" w:rsidP="00FC7F69">
    <w:pPr>
      <w:pStyle w:val="Noga"/>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18" w:rsidRPr="00690BC8" w:rsidRDefault="004A1618" w:rsidP="004A1618">
    <w:pPr>
      <w:pStyle w:val="Noga"/>
      <w:jc w:val="center"/>
      <w:rPr>
        <w:sz w:val="4"/>
        <w:szCs w:val="4"/>
      </w:rPr>
    </w:pPr>
    <w:r w:rsidRPr="00690BC8">
      <w:rPr>
        <w:sz w:val="20"/>
        <w:szCs w:val="20"/>
      </w:rPr>
      <w:t>___________________________________________________________________________________________</w:t>
    </w:r>
    <w:r w:rsidRPr="00690BC8">
      <w:rPr>
        <w:sz w:val="20"/>
        <w:szCs w:val="20"/>
      </w:rPr>
      <w:br/>
    </w:r>
  </w:p>
  <w:p w:rsidR="004A1618" w:rsidRPr="00690BC8" w:rsidRDefault="004A1618" w:rsidP="004A1618">
    <w:pPr>
      <w:pStyle w:val="Noga"/>
      <w:jc w:val="center"/>
      <w:rPr>
        <w:sz w:val="20"/>
        <w:szCs w:val="20"/>
      </w:rPr>
    </w:pPr>
    <w:r w:rsidRPr="00690BC8">
      <w:rPr>
        <w:sz w:val="20"/>
        <w:szCs w:val="20"/>
      </w:rPr>
      <w:t>Krajevna skupnost Begunje na Gorenjskem, Begunje 15 c, 4275 Begunje na Gorenjskem</w:t>
    </w:r>
    <w:r w:rsidRPr="00690BC8">
      <w:rPr>
        <w:sz w:val="20"/>
        <w:szCs w:val="20"/>
      </w:rPr>
      <w:br/>
      <w:t>(04) 53 33 450, 031 389 152, ks.begunje@siol.net</w:t>
    </w:r>
  </w:p>
  <w:p w:rsidR="004A1618" w:rsidRPr="00690BC8" w:rsidRDefault="004A1618" w:rsidP="004A1618">
    <w:pPr>
      <w:pStyle w:val="Noga"/>
      <w:jc w:val="center"/>
      <w:rPr>
        <w:sz w:val="20"/>
        <w:szCs w:val="20"/>
      </w:rPr>
    </w:pPr>
    <w:r w:rsidRPr="00690BC8">
      <w:rPr>
        <w:sz w:val="20"/>
        <w:szCs w:val="20"/>
      </w:rPr>
      <w:t xml:space="preserve">davčna št.: </w:t>
    </w:r>
    <w:r w:rsidRPr="00690BC8">
      <w:rPr>
        <w:rStyle w:val="apple-style-span"/>
        <w:rFonts w:cs="Arial"/>
        <w:sz w:val="20"/>
        <w:szCs w:val="20"/>
      </w:rPr>
      <w:t>SI97538612, matična št.: 502955, št. računa: 01302-6450841954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676" w:rsidRDefault="00211676" w:rsidP="00FC7F69">
      <w:pPr>
        <w:spacing w:after="0" w:line="240" w:lineRule="auto"/>
      </w:pPr>
      <w:r>
        <w:separator/>
      </w:r>
    </w:p>
  </w:footnote>
  <w:footnote w:type="continuationSeparator" w:id="0">
    <w:p w:rsidR="00211676" w:rsidRDefault="00211676" w:rsidP="00FC7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19" w:type="dxa"/>
      <w:tblInd w:w="-34" w:type="dxa"/>
      <w:tblLook w:val="01E0" w:firstRow="1" w:lastRow="1" w:firstColumn="1" w:lastColumn="1" w:noHBand="0" w:noVBand="0"/>
    </w:tblPr>
    <w:tblGrid>
      <w:gridCol w:w="9319"/>
    </w:tblGrid>
    <w:tr w:rsidR="00FC7F69" w:rsidRPr="00F838BD" w:rsidTr="006300C9">
      <w:trPr>
        <w:trHeight w:val="84"/>
      </w:trPr>
      <w:tc>
        <w:tcPr>
          <w:tcW w:w="9319" w:type="dxa"/>
        </w:tcPr>
        <w:p w:rsidR="00745FD6" w:rsidRDefault="00745FD6" w:rsidP="004A1618">
          <w:pPr>
            <w:pStyle w:val="Glava"/>
            <w:tabs>
              <w:tab w:val="clear" w:pos="4536"/>
              <w:tab w:val="center" w:pos="4551"/>
              <w:tab w:val="left" w:pos="5983"/>
            </w:tabs>
            <w:jc w:val="right"/>
            <w:rPr>
              <w:sz w:val="4"/>
              <w:szCs w:val="4"/>
            </w:rPr>
          </w:pPr>
          <w:r>
            <w:rPr>
              <w:sz w:val="4"/>
              <w:szCs w:val="4"/>
            </w:rPr>
            <w:tab/>
          </w:r>
        </w:p>
        <w:p w:rsidR="00745FD6" w:rsidRDefault="00745FD6" w:rsidP="00745FD6">
          <w:pPr>
            <w:pStyle w:val="Glava"/>
            <w:tabs>
              <w:tab w:val="clear" w:pos="4536"/>
              <w:tab w:val="center" w:pos="4551"/>
              <w:tab w:val="left" w:pos="5983"/>
            </w:tabs>
            <w:jc w:val="center"/>
            <w:rPr>
              <w:sz w:val="4"/>
              <w:szCs w:val="4"/>
            </w:rPr>
          </w:pPr>
        </w:p>
        <w:p w:rsidR="00745FD6" w:rsidRDefault="00745FD6" w:rsidP="00745FD6">
          <w:pPr>
            <w:pStyle w:val="Glava"/>
            <w:tabs>
              <w:tab w:val="clear" w:pos="4536"/>
              <w:tab w:val="center" w:pos="4551"/>
              <w:tab w:val="left" w:pos="5983"/>
            </w:tabs>
            <w:rPr>
              <w:sz w:val="4"/>
              <w:szCs w:val="4"/>
            </w:rPr>
          </w:pPr>
        </w:p>
        <w:p w:rsidR="00745FD6" w:rsidRPr="00745FD6" w:rsidRDefault="00745FD6" w:rsidP="00745FD6">
          <w:pPr>
            <w:pStyle w:val="Glava"/>
            <w:tabs>
              <w:tab w:val="clear" w:pos="4536"/>
              <w:tab w:val="center" w:pos="4551"/>
              <w:tab w:val="left" w:pos="5983"/>
            </w:tabs>
            <w:jc w:val="center"/>
            <w:rPr>
              <w:sz w:val="10"/>
              <w:szCs w:val="10"/>
            </w:rPr>
          </w:pPr>
        </w:p>
        <w:p w:rsidR="00745FD6" w:rsidRPr="00745FD6" w:rsidRDefault="00745FD6" w:rsidP="004A1618">
          <w:pPr>
            <w:pStyle w:val="Glava"/>
            <w:tabs>
              <w:tab w:val="left" w:pos="5983"/>
            </w:tabs>
            <w:jc w:val="right"/>
            <w:rPr>
              <w:sz w:val="24"/>
              <w:szCs w:val="24"/>
            </w:rPr>
          </w:pPr>
        </w:p>
      </w:tc>
    </w:tr>
    <w:tr w:rsidR="00FC7F69" w:rsidRPr="00F838BD" w:rsidTr="006300C9">
      <w:trPr>
        <w:trHeight w:val="164"/>
      </w:trPr>
      <w:tc>
        <w:tcPr>
          <w:tcW w:w="9319" w:type="dxa"/>
        </w:tcPr>
        <w:p w:rsidR="00FC7F69" w:rsidRPr="00FC7F69" w:rsidRDefault="00FC7F69" w:rsidP="006300C9">
          <w:pPr>
            <w:pStyle w:val="Glava"/>
            <w:tabs>
              <w:tab w:val="left" w:pos="142"/>
            </w:tabs>
            <w:rPr>
              <w:noProof/>
              <w:color w:val="548DD4" w:themeColor="text2" w:themeTint="99"/>
            </w:rPr>
          </w:pPr>
        </w:p>
      </w:tc>
    </w:tr>
  </w:tbl>
  <w:p w:rsidR="00FC7F69" w:rsidRDefault="00FC7F69" w:rsidP="00690BC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19" w:type="dxa"/>
      <w:tblInd w:w="-34" w:type="dxa"/>
      <w:tblLook w:val="01E0" w:firstRow="1" w:lastRow="1" w:firstColumn="1" w:lastColumn="1" w:noHBand="0" w:noVBand="0"/>
    </w:tblPr>
    <w:tblGrid>
      <w:gridCol w:w="9319"/>
    </w:tblGrid>
    <w:tr w:rsidR="004A1618" w:rsidRPr="00745FD6" w:rsidTr="00F3711B">
      <w:trPr>
        <w:trHeight w:val="84"/>
      </w:trPr>
      <w:tc>
        <w:tcPr>
          <w:tcW w:w="9319" w:type="dxa"/>
        </w:tcPr>
        <w:p w:rsidR="004A1618" w:rsidRDefault="004A1618" w:rsidP="004A1618">
          <w:pPr>
            <w:pStyle w:val="Glava"/>
            <w:tabs>
              <w:tab w:val="clear" w:pos="4536"/>
              <w:tab w:val="center" w:pos="4551"/>
              <w:tab w:val="left" w:pos="5983"/>
            </w:tabs>
            <w:jc w:val="right"/>
            <w:rPr>
              <w:sz w:val="4"/>
              <w:szCs w:val="4"/>
            </w:rPr>
          </w:pPr>
          <w:r>
            <w:rPr>
              <w:sz w:val="4"/>
              <w:szCs w:val="4"/>
            </w:rPr>
            <w:tab/>
          </w:r>
        </w:p>
        <w:p w:rsidR="004A1618" w:rsidRDefault="004A1618" w:rsidP="004A1618">
          <w:pPr>
            <w:pStyle w:val="Glava"/>
            <w:tabs>
              <w:tab w:val="clear" w:pos="4536"/>
              <w:tab w:val="center" w:pos="4551"/>
              <w:tab w:val="left" w:pos="5983"/>
            </w:tabs>
            <w:jc w:val="center"/>
            <w:rPr>
              <w:sz w:val="4"/>
              <w:szCs w:val="4"/>
            </w:rPr>
          </w:pPr>
        </w:p>
        <w:p w:rsidR="004A1618" w:rsidRDefault="004A1618" w:rsidP="004A1618">
          <w:pPr>
            <w:pStyle w:val="Glava"/>
            <w:tabs>
              <w:tab w:val="clear" w:pos="4536"/>
              <w:tab w:val="center" w:pos="4551"/>
              <w:tab w:val="left" w:pos="5983"/>
            </w:tabs>
            <w:rPr>
              <w:sz w:val="4"/>
              <w:szCs w:val="4"/>
            </w:rPr>
          </w:pPr>
        </w:p>
        <w:p w:rsidR="004A1618" w:rsidRPr="00745FD6" w:rsidRDefault="004A1618" w:rsidP="004A1618">
          <w:pPr>
            <w:pStyle w:val="Glava"/>
            <w:tabs>
              <w:tab w:val="clear" w:pos="4536"/>
              <w:tab w:val="center" w:pos="4551"/>
              <w:tab w:val="left" w:pos="5983"/>
            </w:tabs>
            <w:jc w:val="center"/>
            <w:rPr>
              <w:sz w:val="10"/>
              <w:szCs w:val="10"/>
            </w:rPr>
          </w:pPr>
        </w:p>
        <w:p w:rsidR="004A1618" w:rsidRPr="00745FD6" w:rsidRDefault="004A1618" w:rsidP="004A1618">
          <w:pPr>
            <w:pStyle w:val="Glava"/>
            <w:tabs>
              <w:tab w:val="left" w:pos="5983"/>
            </w:tabs>
            <w:jc w:val="right"/>
            <w:rPr>
              <w:sz w:val="24"/>
              <w:szCs w:val="24"/>
            </w:rPr>
          </w:pPr>
          <w:r>
            <w:rPr>
              <w:noProof/>
            </w:rPr>
            <w:drawing>
              <wp:inline distT="0" distB="0" distL="0" distR="0" wp14:anchorId="3795FA23" wp14:editId="0FA9D8A6">
                <wp:extent cx="2676915" cy="704638"/>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1578" cy="729556"/>
                        </a:xfrm>
                        <a:prstGeom prst="rect">
                          <a:avLst/>
                        </a:prstGeom>
                      </pic:spPr>
                    </pic:pic>
                  </a:graphicData>
                </a:graphic>
              </wp:inline>
            </w:drawing>
          </w:r>
        </w:p>
      </w:tc>
    </w:tr>
    <w:tr w:rsidR="004A1618" w:rsidRPr="00FC7F69" w:rsidTr="00F3711B">
      <w:trPr>
        <w:trHeight w:val="164"/>
      </w:trPr>
      <w:tc>
        <w:tcPr>
          <w:tcW w:w="9319" w:type="dxa"/>
        </w:tcPr>
        <w:p w:rsidR="004A1618" w:rsidRPr="00FC7F69" w:rsidRDefault="004A1618" w:rsidP="004A1618">
          <w:pPr>
            <w:pStyle w:val="Glava"/>
            <w:tabs>
              <w:tab w:val="left" w:pos="142"/>
            </w:tabs>
            <w:rPr>
              <w:noProof/>
              <w:color w:val="548DD4" w:themeColor="text2" w:themeTint="99"/>
            </w:rPr>
          </w:pPr>
        </w:p>
      </w:tc>
    </w:tr>
  </w:tbl>
  <w:p w:rsidR="004A1618" w:rsidRDefault="004A1618" w:rsidP="004A1618">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TE1CC32D0t00" w:hAnsi="TTE1CC32D0t00" w:cs="TTE1CC32D0t00"/>
      </w:rPr>
    </w:lvl>
  </w:abstractNum>
  <w:abstractNum w:abstractNumId="1" w15:restartNumberingAfterBreak="0">
    <w:nsid w:val="00000003"/>
    <w:multiLevelType w:val="multilevel"/>
    <w:tmpl w:val="00000003"/>
    <w:name w:val="WW8Num8"/>
    <w:lvl w:ilvl="0">
      <w:start w:val="1"/>
      <w:numFmt w:val="decimal"/>
      <w:lvlText w:val="%1."/>
      <w:lvlJc w:val="left"/>
      <w:pPr>
        <w:tabs>
          <w:tab w:val="num" w:pos="360"/>
        </w:tabs>
        <w:ind w:left="360" w:firstLine="360"/>
      </w:pPr>
      <w:rPr>
        <w:rFonts w:hint="default"/>
        <w:color w:val="000000"/>
        <w:position w:val="0"/>
        <w:sz w:val="20"/>
        <w:vertAlign w:val="baseline"/>
      </w:rPr>
    </w:lvl>
    <w:lvl w:ilvl="1">
      <w:start w:val="1"/>
      <w:numFmt w:val="decimal"/>
      <w:lvlText w:val="%2."/>
      <w:lvlJc w:val="left"/>
      <w:pPr>
        <w:tabs>
          <w:tab w:val="num" w:pos="360"/>
        </w:tabs>
        <w:ind w:left="360" w:firstLine="720"/>
      </w:pPr>
      <w:rPr>
        <w:rFonts w:hint="default"/>
        <w:color w:val="000000"/>
        <w:position w:val="0"/>
        <w:sz w:val="20"/>
        <w:vertAlign w:val="baseline"/>
      </w:rPr>
    </w:lvl>
    <w:lvl w:ilvl="2">
      <w:start w:val="1"/>
      <w:numFmt w:val="decimal"/>
      <w:lvlText w:val="%3."/>
      <w:lvlJc w:val="left"/>
      <w:pPr>
        <w:tabs>
          <w:tab w:val="num" w:pos="360"/>
        </w:tabs>
        <w:ind w:left="360" w:firstLine="1080"/>
      </w:pPr>
      <w:rPr>
        <w:rFonts w:hint="default"/>
        <w:color w:val="000000"/>
        <w:position w:val="0"/>
        <w:sz w:val="20"/>
        <w:vertAlign w:val="baseline"/>
      </w:rPr>
    </w:lvl>
    <w:lvl w:ilvl="3">
      <w:start w:val="1"/>
      <w:numFmt w:val="decimal"/>
      <w:lvlText w:val="%4."/>
      <w:lvlJc w:val="left"/>
      <w:pPr>
        <w:tabs>
          <w:tab w:val="num" w:pos="360"/>
        </w:tabs>
        <w:ind w:left="360" w:firstLine="1440"/>
      </w:pPr>
      <w:rPr>
        <w:rFonts w:hint="default"/>
        <w:color w:val="000000"/>
        <w:position w:val="0"/>
        <w:sz w:val="20"/>
        <w:vertAlign w:val="baseline"/>
      </w:rPr>
    </w:lvl>
    <w:lvl w:ilvl="4">
      <w:start w:val="1"/>
      <w:numFmt w:val="decimal"/>
      <w:lvlText w:val="%5."/>
      <w:lvlJc w:val="left"/>
      <w:pPr>
        <w:tabs>
          <w:tab w:val="num" w:pos="360"/>
        </w:tabs>
        <w:ind w:left="360" w:firstLine="1800"/>
      </w:pPr>
      <w:rPr>
        <w:rFonts w:hint="default"/>
        <w:color w:val="000000"/>
        <w:position w:val="0"/>
        <w:sz w:val="20"/>
        <w:vertAlign w:val="baseline"/>
      </w:rPr>
    </w:lvl>
    <w:lvl w:ilvl="5">
      <w:start w:val="1"/>
      <w:numFmt w:val="decimal"/>
      <w:lvlText w:val="%6."/>
      <w:lvlJc w:val="left"/>
      <w:pPr>
        <w:tabs>
          <w:tab w:val="num" w:pos="360"/>
        </w:tabs>
        <w:ind w:left="360" w:firstLine="2160"/>
      </w:pPr>
      <w:rPr>
        <w:rFonts w:hint="default"/>
        <w:color w:val="000000"/>
        <w:position w:val="0"/>
        <w:sz w:val="20"/>
        <w:vertAlign w:val="baseline"/>
      </w:rPr>
    </w:lvl>
    <w:lvl w:ilvl="6">
      <w:start w:val="1"/>
      <w:numFmt w:val="decimal"/>
      <w:lvlText w:val="%7."/>
      <w:lvlJc w:val="left"/>
      <w:pPr>
        <w:tabs>
          <w:tab w:val="num" w:pos="360"/>
        </w:tabs>
        <w:ind w:left="360" w:firstLine="2520"/>
      </w:pPr>
      <w:rPr>
        <w:rFonts w:hint="default"/>
        <w:color w:val="000000"/>
        <w:position w:val="0"/>
        <w:sz w:val="20"/>
        <w:vertAlign w:val="baseline"/>
      </w:rPr>
    </w:lvl>
    <w:lvl w:ilvl="7">
      <w:start w:val="1"/>
      <w:numFmt w:val="decimal"/>
      <w:lvlText w:val="%8."/>
      <w:lvlJc w:val="left"/>
      <w:pPr>
        <w:tabs>
          <w:tab w:val="num" w:pos="360"/>
        </w:tabs>
        <w:ind w:left="360" w:firstLine="2880"/>
      </w:pPr>
      <w:rPr>
        <w:rFonts w:hint="default"/>
        <w:color w:val="000000"/>
        <w:position w:val="0"/>
        <w:sz w:val="20"/>
        <w:vertAlign w:val="baseline"/>
      </w:rPr>
    </w:lvl>
    <w:lvl w:ilvl="8">
      <w:start w:val="1"/>
      <w:numFmt w:val="decimal"/>
      <w:lvlText w:val="%9."/>
      <w:lvlJc w:val="left"/>
      <w:pPr>
        <w:tabs>
          <w:tab w:val="num" w:pos="360"/>
        </w:tabs>
        <w:ind w:left="360" w:firstLine="3240"/>
      </w:pPr>
      <w:rPr>
        <w:rFonts w:hint="default"/>
        <w:color w:val="000000"/>
        <w:position w:val="0"/>
        <w:sz w:val="20"/>
        <w:vertAlign w:val="baseline"/>
      </w:rPr>
    </w:lvl>
  </w:abstractNum>
  <w:abstractNum w:abstractNumId="2" w15:restartNumberingAfterBreak="0">
    <w:nsid w:val="00000004"/>
    <w:multiLevelType w:val="multilevel"/>
    <w:tmpl w:val="00000004"/>
    <w:name w:val="WW8Num9"/>
    <w:lvl w:ilvl="0">
      <w:numFmt w:val="bullet"/>
      <w:lvlText w:val="•"/>
      <w:lvlJc w:val="left"/>
      <w:pPr>
        <w:tabs>
          <w:tab w:val="num" w:pos="360"/>
        </w:tabs>
        <w:ind w:left="360" w:firstLine="360"/>
      </w:pPr>
      <w:rPr>
        <w:rFonts w:ascii="Lucida Grande" w:hAnsi="Lucida Grande" w:cs="Symbol" w:hint="default"/>
        <w:color w:val="000000"/>
        <w:position w:val="0"/>
        <w:sz w:val="20"/>
        <w:vertAlign w:val="baseline"/>
      </w:rPr>
    </w:lvl>
    <w:lvl w:ilvl="1">
      <w:start w:val="1"/>
      <w:numFmt w:val="bullet"/>
      <w:lvlText w:val="◦"/>
      <w:lvlJc w:val="left"/>
      <w:pPr>
        <w:tabs>
          <w:tab w:val="num" w:pos="360"/>
        </w:tabs>
        <w:ind w:left="360" w:firstLine="720"/>
      </w:pPr>
      <w:rPr>
        <w:rFonts w:ascii="Arial Unicode MS" w:hAnsi="Arial Unicode MS" w:cs="Arial Unicode MS" w:hint="default"/>
        <w:color w:val="000000"/>
        <w:position w:val="0"/>
        <w:sz w:val="20"/>
        <w:vertAlign w:val="baseline"/>
      </w:rPr>
    </w:lvl>
    <w:lvl w:ilvl="2">
      <w:start w:val="1"/>
      <w:numFmt w:val="bullet"/>
      <w:lvlText w:val="▪"/>
      <w:lvlJc w:val="left"/>
      <w:pPr>
        <w:tabs>
          <w:tab w:val="num" w:pos="360"/>
        </w:tabs>
        <w:ind w:left="360" w:firstLine="1080"/>
      </w:pPr>
      <w:rPr>
        <w:rFonts w:ascii="Arial Unicode MS" w:hAnsi="Arial Unicode MS" w:cs="Arial Unicode MS" w:hint="default"/>
        <w:color w:val="000000"/>
        <w:position w:val="0"/>
        <w:sz w:val="20"/>
        <w:vertAlign w:val="baseline"/>
      </w:rPr>
    </w:lvl>
    <w:lvl w:ilvl="3">
      <w:start w:val="1"/>
      <w:numFmt w:val="bullet"/>
      <w:lvlText w:val="•"/>
      <w:lvlJc w:val="left"/>
      <w:pPr>
        <w:tabs>
          <w:tab w:val="num" w:pos="360"/>
        </w:tabs>
        <w:ind w:left="360" w:firstLine="1440"/>
      </w:pPr>
      <w:rPr>
        <w:rFonts w:ascii="Lucida Grande" w:hAnsi="Lucida Grande" w:cs="Symbol" w:hint="default"/>
        <w:color w:val="000000"/>
        <w:position w:val="0"/>
        <w:sz w:val="20"/>
        <w:vertAlign w:val="baseline"/>
      </w:rPr>
    </w:lvl>
    <w:lvl w:ilvl="4">
      <w:start w:val="1"/>
      <w:numFmt w:val="bullet"/>
      <w:lvlText w:val="◦"/>
      <w:lvlJc w:val="left"/>
      <w:pPr>
        <w:tabs>
          <w:tab w:val="num" w:pos="360"/>
        </w:tabs>
        <w:ind w:left="360" w:firstLine="1800"/>
      </w:pPr>
      <w:rPr>
        <w:rFonts w:ascii="Arial Unicode MS" w:hAnsi="Arial Unicode MS" w:cs="Arial Unicode MS" w:hint="default"/>
        <w:color w:val="000000"/>
        <w:position w:val="0"/>
        <w:sz w:val="20"/>
        <w:vertAlign w:val="baseline"/>
      </w:rPr>
    </w:lvl>
    <w:lvl w:ilvl="5">
      <w:start w:val="1"/>
      <w:numFmt w:val="bullet"/>
      <w:lvlText w:val="▪"/>
      <w:lvlJc w:val="left"/>
      <w:pPr>
        <w:tabs>
          <w:tab w:val="num" w:pos="360"/>
        </w:tabs>
        <w:ind w:left="360" w:firstLine="2160"/>
      </w:pPr>
      <w:rPr>
        <w:rFonts w:ascii="Arial Unicode MS" w:hAnsi="Arial Unicode MS" w:cs="Arial Unicode MS" w:hint="default"/>
        <w:color w:val="000000"/>
        <w:position w:val="0"/>
        <w:sz w:val="20"/>
        <w:vertAlign w:val="baseline"/>
      </w:rPr>
    </w:lvl>
    <w:lvl w:ilvl="6">
      <w:start w:val="1"/>
      <w:numFmt w:val="bullet"/>
      <w:lvlText w:val="•"/>
      <w:lvlJc w:val="left"/>
      <w:pPr>
        <w:tabs>
          <w:tab w:val="num" w:pos="360"/>
        </w:tabs>
        <w:ind w:left="360" w:firstLine="2520"/>
      </w:pPr>
      <w:rPr>
        <w:rFonts w:ascii="Lucida Grande" w:hAnsi="Lucida Grande" w:cs="Symbol" w:hint="default"/>
        <w:color w:val="000000"/>
        <w:position w:val="0"/>
        <w:sz w:val="20"/>
        <w:vertAlign w:val="baseline"/>
      </w:rPr>
    </w:lvl>
    <w:lvl w:ilvl="7">
      <w:start w:val="1"/>
      <w:numFmt w:val="bullet"/>
      <w:lvlText w:val="◦"/>
      <w:lvlJc w:val="left"/>
      <w:pPr>
        <w:tabs>
          <w:tab w:val="num" w:pos="360"/>
        </w:tabs>
        <w:ind w:left="360" w:firstLine="2880"/>
      </w:pPr>
      <w:rPr>
        <w:rFonts w:ascii="Arial Unicode MS" w:hAnsi="Arial Unicode MS" w:cs="Arial Unicode MS" w:hint="default"/>
        <w:color w:val="000000"/>
        <w:position w:val="0"/>
        <w:sz w:val="20"/>
        <w:vertAlign w:val="baseline"/>
      </w:rPr>
    </w:lvl>
    <w:lvl w:ilvl="8">
      <w:start w:val="1"/>
      <w:numFmt w:val="bullet"/>
      <w:lvlText w:val="▪"/>
      <w:lvlJc w:val="left"/>
      <w:pPr>
        <w:tabs>
          <w:tab w:val="num" w:pos="360"/>
        </w:tabs>
        <w:ind w:left="360" w:firstLine="3240"/>
      </w:pPr>
      <w:rPr>
        <w:rFonts w:ascii="Arial Unicode MS" w:hAnsi="Arial Unicode MS" w:cs="Arial Unicode MS" w:hint="default"/>
        <w:color w:val="000000"/>
        <w:position w:val="0"/>
        <w:sz w:val="20"/>
        <w:vertAlign w:val="baseline"/>
      </w:r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Numbering abc"/>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69"/>
    <w:rsid w:val="000079E4"/>
    <w:rsid w:val="000613CE"/>
    <w:rsid w:val="00066B5D"/>
    <w:rsid w:val="00087B6D"/>
    <w:rsid w:val="000C2788"/>
    <w:rsid w:val="00133929"/>
    <w:rsid w:val="0016165F"/>
    <w:rsid w:val="00194BF4"/>
    <w:rsid w:val="00211676"/>
    <w:rsid w:val="002E1BDC"/>
    <w:rsid w:val="00300318"/>
    <w:rsid w:val="00473328"/>
    <w:rsid w:val="004A1618"/>
    <w:rsid w:val="00601A9D"/>
    <w:rsid w:val="006158CC"/>
    <w:rsid w:val="006300C9"/>
    <w:rsid w:val="00690BC8"/>
    <w:rsid w:val="006D323E"/>
    <w:rsid w:val="00745FD6"/>
    <w:rsid w:val="0077715B"/>
    <w:rsid w:val="00831359"/>
    <w:rsid w:val="008D303B"/>
    <w:rsid w:val="00942C6E"/>
    <w:rsid w:val="00A50B77"/>
    <w:rsid w:val="00A836EE"/>
    <w:rsid w:val="00AC7B9F"/>
    <w:rsid w:val="00B060D6"/>
    <w:rsid w:val="00BB57AC"/>
    <w:rsid w:val="00C16ACE"/>
    <w:rsid w:val="00C3620F"/>
    <w:rsid w:val="00C73D62"/>
    <w:rsid w:val="00CD080A"/>
    <w:rsid w:val="00E33C09"/>
    <w:rsid w:val="00EB4451"/>
    <w:rsid w:val="00EF2531"/>
    <w:rsid w:val="00FC7F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078A1-5671-45E8-8BD4-F37B238C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C7F69"/>
    <w:pPr>
      <w:tabs>
        <w:tab w:val="center" w:pos="4536"/>
        <w:tab w:val="right" w:pos="9072"/>
      </w:tabs>
      <w:spacing w:after="0" w:line="240" w:lineRule="auto"/>
    </w:pPr>
  </w:style>
  <w:style w:type="character" w:customStyle="1" w:styleId="GlavaZnak">
    <w:name w:val="Glava Znak"/>
    <w:basedOn w:val="Privzetapisavaodstavka"/>
    <w:link w:val="Glava"/>
    <w:uiPriority w:val="99"/>
    <w:rsid w:val="00FC7F69"/>
  </w:style>
  <w:style w:type="paragraph" w:styleId="Noga">
    <w:name w:val="footer"/>
    <w:basedOn w:val="Navaden"/>
    <w:link w:val="NogaZnak"/>
    <w:uiPriority w:val="99"/>
    <w:unhideWhenUsed/>
    <w:rsid w:val="00FC7F69"/>
    <w:pPr>
      <w:tabs>
        <w:tab w:val="center" w:pos="4536"/>
        <w:tab w:val="right" w:pos="9072"/>
      </w:tabs>
      <w:spacing w:after="0" w:line="240" w:lineRule="auto"/>
    </w:pPr>
  </w:style>
  <w:style w:type="character" w:customStyle="1" w:styleId="NogaZnak">
    <w:name w:val="Noga Znak"/>
    <w:basedOn w:val="Privzetapisavaodstavka"/>
    <w:link w:val="Noga"/>
    <w:uiPriority w:val="99"/>
    <w:rsid w:val="00FC7F69"/>
  </w:style>
  <w:style w:type="paragraph" w:styleId="Besedilooblaka">
    <w:name w:val="Balloon Text"/>
    <w:basedOn w:val="Navaden"/>
    <w:link w:val="BesedilooblakaZnak"/>
    <w:uiPriority w:val="99"/>
    <w:semiHidden/>
    <w:unhideWhenUsed/>
    <w:rsid w:val="00FC7F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7F69"/>
    <w:rPr>
      <w:rFonts w:ascii="Tahoma" w:hAnsi="Tahoma" w:cs="Tahoma"/>
      <w:sz w:val="16"/>
      <w:szCs w:val="16"/>
    </w:rPr>
  </w:style>
  <w:style w:type="character" w:styleId="Hiperpovezava">
    <w:name w:val="Hyperlink"/>
    <w:basedOn w:val="Privzetapisavaodstavka"/>
    <w:uiPriority w:val="99"/>
    <w:unhideWhenUsed/>
    <w:rsid w:val="00FC7F69"/>
    <w:rPr>
      <w:color w:val="0000FF" w:themeColor="hyperlink"/>
      <w:u w:val="single"/>
    </w:rPr>
  </w:style>
  <w:style w:type="character" w:customStyle="1" w:styleId="apple-style-span">
    <w:name w:val="apple-style-span"/>
    <w:basedOn w:val="Privzetapisavaodstavka"/>
    <w:rsid w:val="00E3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8904</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PeterK</dc:creator>
  <cp:lastModifiedBy>KS Begunje</cp:lastModifiedBy>
  <cp:revision>2</cp:revision>
  <dcterms:created xsi:type="dcterms:W3CDTF">2020-01-21T17:33:00Z</dcterms:created>
  <dcterms:modified xsi:type="dcterms:W3CDTF">2020-01-21T17:33:00Z</dcterms:modified>
</cp:coreProperties>
</file>